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4A3EE" w14:textId="77777777" w:rsidR="00947BD1" w:rsidRDefault="00947BD1" w:rsidP="00947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Appendix “A”</w:t>
      </w:r>
    </w:p>
    <w:p w14:paraId="3691E08A" w14:textId="77777777" w:rsidR="006410D7" w:rsidRDefault="00947BD1" w:rsidP="00947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(TBL Analysis Handbook)</w:t>
      </w:r>
    </w:p>
    <w:p w14:paraId="155FEA5F" w14:textId="77777777" w:rsidR="00947BD1" w:rsidRDefault="00947BD1" w:rsidP="007A30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BAF08FE" w14:textId="77777777" w:rsidR="007A3003" w:rsidRDefault="007A3003" w:rsidP="007A30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FLAMROC BENEFITS SCORE METHOD</w:t>
      </w:r>
    </w:p>
    <w:p w14:paraId="24F8C0E2" w14:textId="77777777" w:rsidR="00C24000" w:rsidRDefault="00C24000" w:rsidP="007A30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60C51F3" w14:textId="77777777" w:rsidR="007B3D04" w:rsidRDefault="00C24000" w:rsidP="00C24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MSD typically uses the Triple Bottom Line </w:t>
      </w:r>
      <w:r w:rsidR="003F3F7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coring </w:t>
      </w:r>
      <w:r w:rsidR="003F3F7B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riteria that includes Social, Environmental, and Cost to eva</w:t>
      </w:r>
      <w:r w:rsidR="003F3F7B">
        <w:rPr>
          <w:rFonts w:ascii="Arial" w:hAnsi="Arial" w:cs="Arial"/>
          <w:sz w:val="28"/>
          <w:szCs w:val="28"/>
        </w:rPr>
        <w:t>lua</w:t>
      </w:r>
      <w:r w:rsidR="00E26C33">
        <w:rPr>
          <w:rFonts w:ascii="Arial" w:hAnsi="Arial" w:cs="Arial"/>
          <w:sz w:val="28"/>
          <w:szCs w:val="28"/>
        </w:rPr>
        <w:t xml:space="preserve">te </w:t>
      </w:r>
      <w:r w:rsidR="007B3D04">
        <w:rPr>
          <w:rFonts w:ascii="Arial" w:hAnsi="Arial" w:cs="Arial"/>
          <w:sz w:val="28"/>
          <w:szCs w:val="28"/>
        </w:rPr>
        <w:t xml:space="preserve">BCE </w:t>
      </w:r>
      <w:r w:rsidR="00E26C33">
        <w:rPr>
          <w:rFonts w:ascii="Arial" w:hAnsi="Arial" w:cs="Arial"/>
          <w:sz w:val="28"/>
          <w:szCs w:val="28"/>
        </w:rPr>
        <w:t>project alternatives where s</w:t>
      </w:r>
      <w:r>
        <w:rPr>
          <w:rFonts w:ascii="Arial" w:hAnsi="Arial" w:cs="Arial"/>
          <w:sz w:val="28"/>
          <w:szCs w:val="28"/>
        </w:rPr>
        <w:t xml:space="preserve">cores are </w:t>
      </w:r>
      <w:r w:rsidR="00E26C33">
        <w:rPr>
          <w:rFonts w:ascii="Arial" w:hAnsi="Arial" w:cs="Arial"/>
          <w:sz w:val="28"/>
          <w:szCs w:val="28"/>
        </w:rPr>
        <w:t>tab</w:t>
      </w:r>
      <w:r w:rsidR="003F3F7B">
        <w:rPr>
          <w:rFonts w:ascii="Arial" w:hAnsi="Arial" w:cs="Arial"/>
          <w:sz w:val="28"/>
          <w:szCs w:val="28"/>
        </w:rPr>
        <w:t>ula</w:t>
      </w:r>
      <w:r w:rsidR="00E26C33">
        <w:rPr>
          <w:rFonts w:ascii="Arial" w:hAnsi="Arial" w:cs="Arial"/>
          <w:sz w:val="28"/>
          <w:szCs w:val="28"/>
        </w:rPr>
        <w:t>ted</w:t>
      </w:r>
      <w:r>
        <w:rPr>
          <w:rFonts w:ascii="Arial" w:hAnsi="Arial" w:cs="Arial"/>
          <w:sz w:val="28"/>
          <w:szCs w:val="28"/>
        </w:rPr>
        <w:t xml:space="preserve"> for S</w:t>
      </w:r>
      <w:r w:rsidR="00E26C3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cial and Env</w:t>
      </w:r>
      <w:r w:rsidR="00E26C33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r</w:t>
      </w:r>
      <w:r w:rsidR="00E26C3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nmental. See the Triple </w:t>
      </w:r>
      <w:r w:rsidR="003F3F7B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 xml:space="preserve">ottom </w:t>
      </w:r>
      <w:r w:rsidR="003F3F7B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ine</w:t>
      </w:r>
      <w:r w:rsidR="003F3F7B">
        <w:rPr>
          <w:rFonts w:ascii="Arial" w:hAnsi="Arial" w:cs="Arial"/>
          <w:sz w:val="28"/>
          <w:szCs w:val="28"/>
        </w:rPr>
        <w:t xml:space="preserve"> Analysis Handbook for additional information. </w:t>
      </w:r>
    </w:p>
    <w:p w14:paraId="51B0CBCA" w14:textId="77777777" w:rsidR="007B3D04" w:rsidRDefault="007B3D04" w:rsidP="00C24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0686EF9C" w14:textId="6A3BD654" w:rsidR="00C24000" w:rsidRDefault="00C24000" w:rsidP="00C24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FLAMROC Benefits score evaluate</w:t>
      </w:r>
      <w:r w:rsidR="003F3F7B">
        <w:rPr>
          <w:rFonts w:ascii="Arial" w:hAnsi="Arial" w:cs="Arial"/>
          <w:sz w:val="28"/>
          <w:szCs w:val="28"/>
        </w:rPr>
        <w:t xml:space="preserve">s </w:t>
      </w:r>
      <w:r>
        <w:rPr>
          <w:rFonts w:ascii="Arial" w:hAnsi="Arial" w:cs="Arial"/>
          <w:sz w:val="28"/>
          <w:szCs w:val="28"/>
        </w:rPr>
        <w:t>projects in accordance with the defi</w:t>
      </w:r>
      <w:r w:rsidR="003F3F7B">
        <w:rPr>
          <w:rFonts w:ascii="Arial" w:hAnsi="Arial" w:cs="Arial"/>
          <w:sz w:val="28"/>
          <w:szCs w:val="28"/>
        </w:rPr>
        <w:t xml:space="preserve">nitions listed below and provides </w:t>
      </w:r>
      <w:r>
        <w:rPr>
          <w:rFonts w:ascii="Arial" w:hAnsi="Arial" w:cs="Arial"/>
          <w:sz w:val="28"/>
          <w:szCs w:val="28"/>
        </w:rPr>
        <w:t>a broader impact of the project altern</w:t>
      </w:r>
      <w:r w:rsidR="003F3F7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tive to MSD</w:t>
      </w:r>
      <w:r w:rsidR="003F3F7B">
        <w:rPr>
          <w:rFonts w:ascii="Arial" w:hAnsi="Arial" w:cs="Arial"/>
          <w:sz w:val="28"/>
          <w:szCs w:val="28"/>
        </w:rPr>
        <w:t xml:space="preserve">’s </w:t>
      </w:r>
      <w:r w:rsidR="007B3D04">
        <w:rPr>
          <w:rFonts w:ascii="Arial" w:hAnsi="Arial" w:cs="Arial"/>
          <w:sz w:val="28"/>
          <w:szCs w:val="28"/>
        </w:rPr>
        <w:t xml:space="preserve">ongoing </w:t>
      </w:r>
      <w:r w:rsidR="003F3F7B">
        <w:rPr>
          <w:rFonts w:ascii="Arial" w:hAnsi="Arial" w:cs="Arial"/>
          <w:sz w:val="28"/>
          <w:szCs w:val="28"/>
        </w:rPr>
        <w:t>operation</w:t>
      </w:r>
      <w:r>
        <w:rPr>
          <w:rFonts w:ascii="Arial" w:hAnsi="Arial" w:cs="Arial"/>
          <w:sz w:val="28"/>
          <w:szCs w:val="28"/>
        </w:rPr>
        <w:t>. The Planner has flexibility in evaluating altern</w:t>
      </w:r>
      <w:r w:rsidR="003F3F7B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tives by one of the two methods </w:t>
      </w:r>
      <w:r w:rsidR="003F3F7B">
        <w:rPr>
          <w:rFonts w:ascii="Arial" w:hAnsi="Arial" w:cs="Arial"/>
          <w:sz w:val="28"/>
          <w:szCs w:val="28"/>
        </w:rPr>
        <w:t>or</w:t>
      </w:r>
      <w:r>
        <w:rPr>
          <w:rFonts w:ascii="Arial" w:hAnsi="Arial" w:cs="Arial"/>
          <w:sz w:val="28"/>
          <w:szCs w:val="28"/>
        </w:rPr>
        <w:t xml:space="preserve"> could add the FLAMROC score onto the Triple Bottom line score. </w:t>
      </w:r>
      <w:r w:rsidR="00E26C33">
        <w:rPr>
          <w:rFonts w:ascii="Arial" w:hAnsi="Arial" w:cs="Arial"/>
          <w:sz w:val="28"/>
          <w:szCs w:val="28"/>
        </w:rPr>
        <w:t>These two named methods are no</w:t>
      </w:r>
      <w:r w:rsidR="008C3722">
        <w:rPr>
          <w:rFonts w:ascii="Arial" w:hAnsi="Arial" w:cs="Arial"/>
          <w:sz w:val="28"/>
          <w:szCs w:val="28"/>
        </w:rPr>
        <w:t>t</w:t>
      </w:r>
      <w:r w:rsidR="00E26C33">
        <w:rPr>
          <w:rFonts w:ascii="Arial" w:hAnsi="Arial" w:cs="Arial"/>
          <w:sz w:val="28"/>
          <w:szCs w:val="28"/>
        </w:rPr>
        <w:t xml:space="preserve"> </w:t>
      </w:r>
      <w:r w:rsidR="008C3722">
        <w:rPr>
          <w:rFonts w:ascii="Arial" w:hAnsi="Arial" w:cs="Arial"/>
          <w:sz w:val="28"/>
          <w:szCs w:val="28"/>
        </w:rPr>
        <w:t>ex</w:t>
      </w:r>
      <w:bookmarkStart w:id="0" w:name="_GoBack"/>
      <w:bookmarkEnd w:id="0"/>
      <w:r w:rsidR="00E26C33">
        <w:rPr>
          <w:rFonts w:ascii="Arial" w:hAnsi="Arial" w:cs="Arial"/>
          <w:sz w:val="28"/>
          <w:szCs w:val="28"/>
        </w:rPr>
        <w:t xml:space="preserve">clusive and other scores such as project risk score can also be considered for evaluation of </w:t>
      </w:r>
      <w:r w:rsidR="007B3D04">
        <w:rPr>
          <w:rFonts w:ascii="Arial" w:hAnsi="Arial" w:cs="Arial"/>
          <w:sz w:val="28"/>
          <w:szCs w:val="28"/>
        </w:rPr>
        <w:t xml:space="preserve">project </w:t>
      </w:r>
      <w:r w:rsidR="00E26C33">
        <w:rPr>
          <w:rFonts w:ascii="Arial" w:hAnsi="Arial" w:cs="Arial"/>
          <w:sz w:val="28"/>
          <w:szCs w:val="28"/>
        </w:rPr>
        <w:t>alternatives.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1A2E461" w14:textId="77777777" w:rsidR="007A3003" w:rsidRDefault="007A3003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1201343" w14:textId="77777777" w:rsidR="006410D7" w:rsidRDefault="0043669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Customize </w:t>
      </w:r>
      <w:r w:rsidR="00A92155">
        <w:rPr>
          <w:rFonts w:ascii="Arial" w:hAnsi="Arial" w:cs="Arial"/>
          <w:sz w:val="28"/>
          <w:szCs w:val="28"/>
        </w:rPr>
        <w:t xml:space="preserve">FLAMROC </w:t>
      </w:r>
      <w:r>
        <w:rPr>
          <w:rFonts w:ascii="Arial" w:hAnsi="Arial" w:cs="Arial"/>
          <w:sz w:val="28"/>
          <w:szCs w:val="28"/>
        </w:rPr>
        <w:t>definitions to meet project needs:</w:t>
      </w:r>
    </w:p>
    <w:p w14:paraId="268FC9C2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53BE34D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10D7">
        <w:rPr>
          <w:rFonts w:ascii="Arial" w:hAnsi="Arial" w:cs="Arial"/>
          <w:b/>
          <w:sz w:val="20"/>
          <w:szCs w:val="20"/>
        </w:rPr>
        <w:t>Flexibility</w:t>
      </w:r>
    </w:p>
    <w:p w14:paraId="158BFA49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60D78FE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Manageable methods of operation in the event of a service interruption or change including increase in service.</w:t>
      </w:r>
      <w:r w:rsidR="00C27065">
        <w:rPr>
          <w:rFonts w:ascii="Arial" w:hAnsi="Arial" w:cs="Arial"/>
          <w:sz w:val="20"/>
          <w:szCs w:val="20"/>
        </w:rPr>
        <w:t xml:space="preserve"> Adjust definitions to meet project needs.</w:t>
      </w:r>
    </w:p>
    <w:p w14:paraId="3DE78423" w14:textId="77777777" w:rsidR="0014420A" w:rsidRDefault="0014420A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C500B6" w14:textId="77777777" w:rsidR="0014420A" w:rsidRDefault="0014420A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420A">
        <w:rPr>
          <w:rFonts w:ascii="Arial" w:hAnsi="Arial" w:cs="Arial"/>
          <w:b/>
          <w:sz w:val="20"/>
          <w:szCs w:val="20"/>
        </w:rPr>
        <w:t>Land Availability</w:t>
      </w:r>
    </w:p>
    <w:p w14:paraId="21B949B2" w14:textId="77777777" w:rsidR="0014420A" w:rsidRDefault="0014420A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4CE3A4" w14:textId="77777777" w:rsidR="0014420A" w:rsidRPr="0014420A" w:rsidRDefault="0014420A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420A">
        <w:rPr>
          <w:rFonts w:ascii="Arial" w:hAnsi="Arial" w:cs="Arial"/>
          <w:sz w:val="20"/>
          <w:szCs w:val="20"/>
        </w:rPr>
        <w:t>Need for additional land for project is minimized.</w:t>
      </w:r>
    </w:p>
    <w:p w14:paraId="0CC5EA57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BBC454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10D7">
        <w:rPr>
          <w:rFonts w:ascii="Arial" w:hAnsi="Arial" w:cs="Arial"/>
          <w:b/>
          <w:sz w:val="20"/>
          <w:szCs w:val="20"/>
        </w:rPr>
        <w:t>Adaptability</w:t>
      </w:r>
    </w:p>
    <w:p w14:paraId="01679141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3C09B5" w14:textId="77777777" w:rsidR="006410D7" w:rsidRDefault="00436697" w:rsidP="00436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410D7">
        <w:rPr>
          <w:rFonts w:ascii="Arial" w:hAnsi="Arial" w:cs="Arial"/>
          <w:sz w:val="20"/>
          <w:szCs w:val="20"/>
        </w:rPr>
        <w:t>he proje</w:t>
      </w:r>
      <w:r>
        <w:rPr>
          <w:rFonts w:ascii="Arial" w:hAnsi="Arial" w:cs="Arial"/>
          <w:sz w:val="20"/>
          <w:szCs w:val="20"/>
        </w:rPr>
        <w:t xml:space="preserve">ct can be </w:t>
      </w:r>
      <w:r w:rsidR="006410D7">
        <w:rPr>
          <w:rFonts w:ascii="Arial" w:hAnsi="Arial" w:cs="Arial"/>
          <w:sz w:val="20"/>
          <w:szCs w:val="20"/>
        </w:rPr>
        <w:t xml:space="preserve">changed in the future for changing conditions. </w:t>
      </w:r>
    </w:p>
    <w:p w14:paraId="034D4D36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97B136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10D7">
        <w:rPr>
          <w:rFonts w:ascii="Arial" w:hAnsi="Arial" w:cs="Arial"/>
          <w:b/>
          <w:sz w:val="20"/>
          <w:szCs w:val="20"/>
        </w:rPr>
        <w:t>Maintainability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1763EFC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5B1646" w14:textId="77777777" w:rsidR="006410D7" w:rsidRDefault="00605F56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410D7">
        <w:rPr>
          <w:rFonts w:ascii="Arial" w:hAnsi="Arial" w:cs="Arial"/>
          <w:sz w:val="20"/>
          <w:szCs w:val="20"/>
        </w:rPr>
        <w:t>he project</w:t>
      </w:r>
      <w:r>
        <w:rPr>
          <w:rFonts w:ascii="Arial" w:hAnsi="Arial" w:cs="Arial"/>
          <w:sz w:val="20"/>
          <w:szCs w:val="20"/>
        </w:rPr>
        <w:t xml:space="preserve"> has</w:t>
      </w:r>
      <w:r w:rsidR="006410D7">
        <w:rPr>
          <w:rFonts w:ascii="Arial" w:hAnsi="Arial" w:cs="Arial"/>
          <w:sz w:val="20"/>
          <w:szCs w:val="20"/>
        </w:rPr>
        <w:t xml:space="preserve"> a long </w:t>
      </w:r>
      <w:r>
        <w:rPr>
          <w:rFonts w:ascii="Arial" w:hAnsi="Arial" w:cs="Arial"/>
          <w:sz w:val="20"/>
          <w:szCs w:val="20"/>
        </w:rPr>
        <w:t xml:space="preserve">expected </w:t>
      </w:r>
      <w:r w:rsidR="006410D7">
        <w:rPr>
          <w:rFonts w:ascii="Arial" w:hAnsi="Arial" w:cs="Arial"/>
          <w:sz w:val="20"/>
          <w:szCs w:val="20"/>
        </w:rPr>
        <w:t>useful life,</w:t>
      </w:r>
      <w:r>
        <w:rPr>
          <w:rFonts w:ascii="Arial" w:hAnsi="Arial" w:cs="Arial"/>
          <w:sz w:val="20"/>
          <w:szCs w:val="20"/>
        </w:rPr>
        <w:t xml:space="preserve"> </w:t>
      </w:r>
      <w:r w:rsidR="006410D7">
        <w:rPr>
          <w:rFonts w:ascii="Arial" w:hAnsi="Arial" w:cs="Arial"/>
          <w:sz w:val="20"/>
          <w:szCs w:val="20"/>
        </w:rPr>
        <w:t xml:space="preserve">requiring a minimum of regular and preventative maintenance. </w:t>
      </w:r>
    </w:p>
    <w:p w14:paraId="51725545" w14:textId="77777777" w:rsidR="00605F56" w:rsidRDefault="00605F56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3E09BD" w14:textId="77777777" w:rsidR="00605F56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10D7">
        <w:rPr>
          <w:rFonts w:ascii="Arial" w:hAnsi="Arial" w:cs="Arial"/>
          <w:b/>
          <w:sz w:val="20"/>
          <w:szCs w:val="20"/>
        </w:rPr>
        <w:t>Reliability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08710D" w14:textId="77777777" w:rsidR="00605F56" w:rsidRDefault="00605F56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E5CDF3" w14:textId="77777777" w:rsidR="006410D7" w:rsidRDefault="00605F56" w:rsidP="00605F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projects operation provides reliable and consistent service over useful life.</w:t>
      </w:r>
    </w:p>
    <w:p w14:paraId="621AAF07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B991E2" w14:textId="77777777" w:rsidR="006410D7" w:rsidRP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10D7">
        <w:rPr>
          <w:rFonts w:ascii="Arial" w:hAnsi="Arial" w:cs="Arial"/>
          <w:b/>
          <w:sz w:val="20"/>
          <w:szCs w:val="20"/>
        </w:rPr>
        <w:t>Operability</w:t>
      </w:r>
    </w:p>
    <w:p w14:paraId="4E1E6BFC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217712" w14:textId="77777777" w:rsidR="006410D7" w:rsidRDefault="00991EC8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projects ease of operation is provided throughout the useful life.</w:t>
      </w:r>
    </w:p>
    <w:p w14:paraId="1EE19CD2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49EF5E" w14:textId="77777777" w:rsidR="006410D7" w:rsidRP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10D7">
        <w:rPr>
          <w:rFonts w:ascii="Arial" w:hAnsi="Arial" w:cs="Arial"/>
          <w:b/>
          <w:sz w:val="20"/>
          <w:szCs w:val="20"/>
        </w:rPr>
        <w:t xml:space="preserve">Constructability </w:t>
      </w:r>
    </w:p>
    <w:p w14:paraId="3F70D186" w14:textId="77777777" w:rsidR="006410D7" w:rsidRDefault="006410D7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22DC7E" w14:textId="77777777" w:rsidR="006410D7" w:rsidRDefault="00991EC8" w:rsidP="00641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410D7">
        <w:rPr>
          <w:rFonts w:ascii="Arial" w:hAnsi="Arial" w:cs="Arial"/>
          <w:sz w:val="20"/>
          <w:szCs w:val="20"/>
        </w:rPr>
        <w:t xml:space="preserve">he proposed </w:t>
      </w:r>
      <w:r>
        <w:rPr>
          <w:rFonts w:ascii="Arial" w:hAnsi="Arial" w:cs="Arial"/>
          <w:sz w:val="20"/>
          <w:szCs w:val="20"/>
        </w:rPr>
        <w:t>project</w:t>
      </w:r>
      <w:r w:rsidR="006410D7">
        <w:rPr>
          <w:rFonts w:ascii="Arial" w:hAnsi="Arial" w:cs="Arial"/>
          <w:sz w:val="20"/>
          <w:szCs w:val="20"/>
        </w:rPr>
        <w:t xml:space="preserve"> and the sequence of construction will minimize the risk of</w:t>
      </w:r>
    </w:p>
    <w:p w14:paraId="6271AD4E" w14:textId="77777777" w:rsidR="00991EC8" w:rsidRDefault="003F3F7B" w:rsidP="00991E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</w:t>
      </w:r>
      <w:r w:rsidR="006410D7">
        <w:rPr>
          <w:rFonts w:ascii="Arial" w:hAnsi="Arial" w:cs="Arial"/>
          <w:sz w:val="20"/>
          <w:szCs w:val="20"/>
        </w:rPr>
        <w:t xml:space="preserve"> overruns and delays.</w:t>
      </w:r>
    </w:p>
    <w:p w14:paraId="3E1279E1" w14:textId="77777777" w:rsidR="00550E51" w:rsidRDefault="00550E51" w:rsidP="006410D7">
      <w:pPr>
        <w:rPr>
          <w:rFonts w:ascii="Arial" w:hAnsi="Arial" w:cs="Arial"/>
          <w:sz w:val="20"/>
          <w:szCs w:val="20"/>
        </w:rPr>
      </w:pPr>
    </w:p>
    <w:p w14:paraId="65DA7FD5" w14:textId="77777777" w:rsidR="00A92155" w:rsidRDefault="00A92155" w:rsidP="006410D7">
      <w:pPr>
        <w:rPr>
          <w:rFonts w:ascii="Arial" w:hAnsi="Arial" w:cs="Arial"/>
          <w:sz w:val="20"/>
          <w:szCs w:val="20"/>
        </w:rPr>
      </w:pPr>
    </w:p>
    <w:p w14:paraId="0A66F915" w14:textId="77777777" w:rsidR="00A92155" w:rsidRDefault="00A92155" w:rsidP="00156F2A">
      <w:pPr>
        <w:ind w:firstLine="720"/>
        <w:rPr>
          <w:rFonts w:ascii="Arial" w:hAnsi="Arial" w:cs="Arial"/>
          <w:sz w:val="20"/>
          <w:szCs w:val="20"/>
        </w:rPr>
      </w:pPr>
    </w:p>
    <w:p w14:paraId="2B6E40EB" w14:textId="77777777" w:rsidR="00A92155" w:rsidRDefault="00A92155" w:rsidP="006410D7">
      <w:pPr>
        <w:rPr>
          <w:rFonts w:ascii="Arial" w:hAnsi="Arial" w:cs="Arial"/>
          <w:sz w:val="20"/>
          <w:szCs w:val="20"/>
        </w:rPr>
      </w:pPr>
    </w:p>
    <w:p w14:paraId="3FBD4A3E" w14:textId="77777777" w:rsidR="006410D7" w:rsidRPr="006410D7" w:rsidRDefault="006410D7" w:rsidP="006410D7">
      <w:pPr>
        <w:rPr>
          <w:rFonts w:ascii="Arial" w:hAnsi="Arial" w:cs="Arial"/>
          <w:sz w:val="20"/>
          <w:szCs w:val="20"/>
        </w:rPr>
      </w:pPr>
      <w:r w:rsidRPr="006410D7">
        <w:rPr>
          <w:rFonts w:ascii="Arial" w:hAnsi="Arial" w:cs="Arial"/>
          <w:sz w:val="20"/>
          <w:szCs w:val="20"/>
        </w:rPr>
        <w:t xml:space="preserve">The proposed </w:t>
      </w:r>
      <w:r w:rsidR="003F3F7B">
        <w:rPr>
          <w:rFonts w:ascii="Arial" w:hAnsi="Arial" w:cs="Arial"/>
          <w:sz w:val="20"/>
          <w:szCs w:val="20"/>
        </w:rPr>
        <w:t xml:space="preserve">FLAMROC </w:t>
      </w:r>
      <w:r w:rsidRPr="006410D7">
        <w:rPr>
          <w:rFonts w:ascii="Arial" w:hAnsi="Arial" w:cs="Arial"/>
          <w:sz w:val="20"/>
          <w:szCs w:val="20"/>
        </w:rPr>
        <w:t>scoring criterion and their respective maximum possible points are</w:t>
      </w:r>
    </w:p>
    <w:p w14:paraId="5BD60251" w14:textId="77777777" w:rsidR="006410D7" w:rsidRPr="006410D7" w:rsidRDefault="003F3F7B" w:rsidP="006410D7">
      <w:pPr>
        <w:rPr>
          <w:rFonts w:ascii="Arial" w:hAnsi="Arial" w:cs="Arial"/>
          <w:sz w:val="20"/>
          <w:szCs w:val="20"/>
        </w:rPr>
      </w:pPr>
      <w:r w:rsidRPr="006410D7">
        <w:rPr>
          <w:rFonts w:ascii="Arial" w:hAnsi="Arial" w:cs="Arial"/>
          <w:sz w:val="20"/>
          <w:szCs w:val="20"/>
        </w:rPr>
        <w:t>Shown</w:t>
      </w:r>
      <w:r w:rsidR="006410D7" w:rsidRPr="006410D7">
        <w:rPr>
          <w:rFonts w:ascii="Arial" w:hAnsi="Arial" w:cs="Arial"/>
          <w:sz w:val="20"/>
          <w:szCs w:val="20"/>
        </w:rPr>
        <w:t xml:space="preserve"> in Table </w:t>
      </w:r>
      <w:r w:rsidR="007A3003">
        <w:rPr>
          <w:rFonts w:ascii="Arial" w:hAnsi="Arial" w:cs="Arial"/>
          <w:sz w:val="20"/>
          <w:szCs w:val="20"/>
        </w:rPr>
        <w:t xml:space="preserve">1. </w:t>
      </w:r>
      <w:r w:rsidR="006410D7" w:rsidRPr="006410D7">
        <w:rPr>
          <w:rFonts w:ascii="Arial" w:hAnsi="Arial" w:cs="Arial"/>
          <w:sz w:val="20"/>
          <w:szCs w:val="20"/>
        </w:rPr>
        <w:t>Note that the concept of maximum possible score combines the separate concepts of</w:t>
      </w:r>
    </w:p>
    <w:p w14:paraId="3C23B671" w14:textId="77777777" w:rsidR="006410D7" w:rsidRPr="006410D7" w:rsidRDefault="003F3F7B" w:rsidP="006410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6410D7">
        <w:rPr>
          <w:rFonts w:ascii="Arial" w:hAnsi="Arial" w:cs="Arial"/>
          <w:sz w:val="20"/>
          <w:szCs w:val="20"/>
        </w:rPr>
        <w:t>eighting</w:t>
      </w:r>
      <w:r w:rsidR="006410D7" w:rsidRPr="006410D7">
        <w:rPr>
          <w:rFonts w:ascii="Arial" w:hAnsi="Arial" w:cs="Arial"/>
          <w:sz w:val="20"/>
          <w:szCs w:val="20"/>
        </w:rPr>
        <w:t xml:space="preserve"> and scoring, so that the Scoring Team only need</w:t>
      </w:r>
      <w:r w:rsidR="007A3003">
        <w:rPr>
          <w:rFonts w:ascii="Arial" w:hAnsi="Arial" w:cs="Arial"/>
          <w:sz w:val="20"/>
          <w:szCs w:val="20"/>
        </w:rPr>
        <w:t>s</w:t>
      </w:r>
      <w:r w:rsidR="006410D7" w:rsidRPr="006410D7">
        <w:rPr>
          <w:rFonts w:ascii="Arial" w:hAnsi="Arial" w:cs="Arial"/>
          <w:sz w:val="20"/>
          <w:szCs w:val="20"/>
        </w:rPr>
        <w:t xml:space="preserve"> to assign one number to</w:t>
      </w:r>
    </w:p>
    <w:p w14:paraId="411ADECC" w14:textId="77777777" w:rsidR="006410D7" w:rsidRDefault="006410D7" w:rsidP="006410D7">
      <w:pPr>
        <w:rPr>
          <w:rFonts w:ascii="Arial" w:hAnsi="Arial" w:cs="Arial"/>
          <w:sz w:val="20"/>
          <w:szCs w:val="20"/>
        </w:rPr>
      </w:pPr>
      <w:r w:rsidRPr="006410D7">
        <w:rPr>
          <w:rFonts w:ascii="Arial" w:hAnsi="Arial" w:cs="Arial"/>
          <w:sz w:val="20"/>
          <w:szCs w:val="20"/>
        </w:rPr>
        <w:t>a category.</w:t>
      </w:r>
    </w:p>
    <w:p w14:paraId="3EE21878" w14:textId="77777777" w:rsidR="007A3003" w:rsidRDefault="007A3003" w:rsidP="007A3003">
      <w:pPr>
        <w:rPr>
          <w:rFonts w:ascii="Arial" w:hAnsi="Arial" w:cs="Arial"/>
          <w:b/>
          <w:bCs/>
          <w:sz w:val="20"/>
          <w:szCs w:val="20"/>
        </w:rPr>
      </w:pPr>
    </w:p>
    <w:p w14:paraId="02D17DB4" w14:textId="77777777" w:rsidR="007A3003" w:rsidRPr="006410D7" w:rsidRDefault="007A3003" w:rsidP="007A3003">
      <w:pPr>
        <w:rPr>
          <w:rFonts w:ascii="Arial" w:hAnsi="Arial" w:cs="Arial"/>
          <w:b/>
          <w:bCs/>
          <w:sz w:val="20"/>
          <w:szCs w:val="20"/>
        </w:rPr>
      </w:pPr>
      <w:r w:rsidRPr="006410D7">
        <w:rPr>
          <w:rFonts w:ascii="Arial" w:hAnsi="Arial" w:cs="Arial"/>
          <w:b/>
          <w:bCs/>
          <w:sz w:val="20"/>
          <w:szCs w:val="20"/>
        </w:rPr>
        <w:t xml:space="preserve">Table 1 </w:t>
      </w:r>
      <w:r>
        <w:rPr>
          <w:rFonts w:ascii="Arial" w:hAnsi="Arial" w:cs="Arial"/>
          <w:b/>
          <w:bCs/>
          <w:sz w:val="20"/>
          <w:szCs w:val="20"/>
        </w:rPr>
        <w:t>FLAMROC Criteria and Weights</w:t>
      </w:r>
    </w:p>
    <w:p w14:paraId="39D00828" w14:textId="77777777" w:rsidR="007A3003" w:rsidRDefault="007A3003" w:rsidP="006410D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A3003" w14:paraId="083C62B9" w14:textId="77777777" w:rsidTr="007A3003">
        <w:tc>
          <w:tcPr>
            <w:tcW w:w="4675" w:type="dxa"/>
          </w:tcPr>
          <w:p w14:paraId="7CD5AEFC" w14:textId="77777777" w:rsidR="007A3003" w:rsidRPr="006410D7" w:rsidRDefault="007A3003" w:rsidP="007A3003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Criteria</w:t>
            </w:r>
          </w:p>
          <w:p w14:paraId="2CA70331" w14:textId="77777777" w:rsidR="007A3003" w:rsidRDefault="007A3003" w:rsidP="006410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5" w:type="dxa"/>
          </w:tcPr>
          <w:p w14:paraId="1E323C34" w14:textId="77777777" w:rsidR="007A3003" w:rsidRDefault="007A3003" w:rsidP="00C27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</w:t>
            </w:r>
            <w:r w:rsidR="00C27065">
              <w:rPr>
                <w:rFonts w:ascii="Arial" w:hAnsi="Arial" w:cs="Arial"/>
                <w:sz w:val="20"/>
                <w:szCs w:val="20"/>
              </w:rPr>
              <w:t xml:space="preserve">* </w:t>
            </w:r>
          </w:p>
        </w:tc>
      </w:tr>
      <w:tr w:rsidR="007A3003" w14:paraId="7CCFF155" w14:textId="77777777" w:rsidTr="007A3003">
        <w:tc>
          <w:tcPr>
            <w:tcW w:w="4675" w:type="dxa"/>
          </w:tcPr>
          <w:p w14:paraId="0FA3FFCB" w14:textId="77777777" w:rsidR="007A3003" w:rsidRDefault="007A3003" w:rsidP="007A30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10D7">
              <w:rPr>
                <w:rFonts w:ascii="Arial" w:hAnsi="Arial" w:cs="Arial"/>
                <w:b/>
                <w:sz w:val="20"/>
                <w:szCs w:val="20"/>
              </w:rPr>
              <w:t>Flexibility</w:t>
            </w:r>
          </w:p>
        </w:tc>
        <w:tc>
          <w:tcPr>
            <w:tcW w:w="4675" w:type="dxa"/>
          </w:tcPr>
          <w:p w14:paraId="2198C525" w14:textId="77777777" w:rsidR="007A3003" w:rsidRDefault="004823A7" w:rsidP="00071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A3003" w14:paraId="42509DA0" w14:textId="77777777" w:rsidTr="007A3003">
        <w:tc>
          <w:tcPr>
            <w:tcW w:w="4675" w:type="dxa"/>
          </w:tcPr>
          <w:p w14:paraId="506A425D" w14:textId="77777777" w:rsidR="007A3003" w:rsidRDefault="007A3003" w:rsidP="007A3003">
            <w:pPr>
              <w:rPr>
                <w:rFonts w:ascii="Arial" w:hAnsi="Arial" w:cs="Arial"/>
                <w:sz w:val="20"/>
                <w:szCs w:val="20"/>
              </w:rPr>
            </w:pPr>
            <w:r w:rsidRPr="0014420A">
              <w:rPr>
                <w:rFonts w:ascii="Arial" w:hAnsi="Arial" w:cs="Arial"/>
                <w:b/>
                <w:sz w:val="20"/>
                <w:szCs w:val="20"/>
              </w:rPr>
              <w:t>Land Availability</w:t>
            </w:r>
          </w:p>
        </w:tc>
        <w:tc>
          <w:tcPr>
            <w:tcW w:w="4675" w:type="dxa"/>
          </w:tcPr>
          <w:p w14:paraId="1780C6A0" w14:textId="77777777" w:rsidR="007A3003" w:rsidRDefault="007A3003" w:rsidP="007A3003">
            <w:r w:rsidRPr="003177D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A3003" w14:paraId="6C4B0B15" w14:textId="77777777" w:rsidTr="007A3003">
        <w:tc>
          <w:tcPr>
            <w:tcW w:w="4675" w:type="dxa"/>
          </w:tcPr>
          <w:p w14:paraId="29BBD121" w14:textId="77777777" w:rsidR="007A3003" w:rsidRDefault="007A3003" w:rsidP="007A30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10D7">
              <w:rPr>
                <w:rFonts w:ascii="Arial" w:hAnsi="Arial" w:cs="Arial"/>
                <w:b/>
                <w:sz w:val="20"/>
                <w:szCs w:val="20"/>
              </w:rPr>
              <w:t>Adaptability</w:t>
            </w:r>
          </w:p>
        </w:tc>
        <w:tc>
          <w:tcPr>
            <w:tcW w:w="4675" w:type="dxa"/>
          </w:tcPr>
          <w:p w14:paraId="255295D6" w14:textId="77777777" w:rsidR="007A3003" w:rsidRDefault="004823A7" w:rsidP="00071C58"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A3003" w14:paraId="2E575E33" w14:textId="77777777" w:rsidTr="007A3003">
        <w:tc>
          <w:tcPr>
            <w:tcW w:w="4675" w:type="dxa"/>
          </w:tcPr>
          <w:p w14:paraId="15F50464" w14:textId="77777777" w:rsidR="007A3003" w:rsidRDefault="007A3003" w:rsidP="007A3003">
            <w:pPr>
              <w:rPr>
                <w:rFonts w:ascii="Arial" w:hAnsi="Arial" w:cs="Arial"/>
                <w:sz w:val="20"/>
                <w:szCs w:val="20"/>
              </w:rPr>
            </w:pPr>
            <w:r w:rsidRPr="006410D7">
              <w:rPr>
                <w:rFonts w:ascii="Arial" w:hAnsi="Arial" w:cs="Arial"/>
                <w:b/>
                <w:sz w:val="20"/>
                <w:szCs w:val="20"/>
              </w:rPr>
              <w:t>Maintainability</w:t>
            </w:r>
          </w:p>
        </w:tc>
        <w:tc>
          <w:tcPr>
            <w:tcW w:w="4675" w:type="dxa"/>
          </w:tcPr>
          <w:p w14:paraId="73B62932" w14:textId="77777777" w:rsidR="007A3003" w:rsidRDefault="004823A7" w:rsidP="00071C58"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A3003" w14:paraId="4AF8D23A" w14:textId="77777777" w:rsidTr="007A3003">
        <w:tc>
          <w:tcPr>
            <w:tcW w:w="4675" w:type="dxa"/>
          </w:tcPr>
          <w:p w14:paraId="68C587E4" w14:textId="77777777" w:rsidR="007A3003" w:rsidRDefault="007A3003" w:rsidP="007A30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10D7">
              <w:rPr>
                <w:rFonts w:ascii="Arial" w:hAnsi="Arial" w:cs="Arial"/>
                <w:b/>
                <w:sz w:val="20"/>
                <w:szCs w:val="20"/>
              </w:rPr>
              <w:t>Reliability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14:paraId="7CFB2CF6" w14:textId="77777777" w:rsidR="007A3003" w:rsidRDefault="004823A7" w:rsidP="00071C58"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A3003" w14:paraId="0D69417A" w14:textId="77777777" w:rsidTr="007A3003">
        <w:tc>
          <w:tcPr>
            <w:tcW w:w="4675" w:type="dxa"/>
          </w:tcPr>
          <w:p w14:paraId="46A5D476" w14:textId="77777777" w:rsidR="007A3003" w:rsidRDefault="007A3003" w:rsidP="007A30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10D7">
              <w:rPr>
                <w:rFonts w:ascii="Arial" w:hAnsi="Arial" w:cs="Arial"/>
                <w:b/>
                <w:sz w:val="20"/>
                <w:szCs w:val="20"/>
              </w:rPr>
              <w:t>Operability</w:t>
            </w:r>
          </w:p>
        </w:tc>
        <w:tc>
          <w:tcPr>
            <w:tcW w:w="4675" w:type="dxa"/>
          </w:tcPr>
          <w:p w14:paraId="62D48117" w14:textId="77777777" w:rsidR="007A3003" w:rsidRDefault="004823A7" w:rsidP="00071C58"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A3003" w14:paraId="3A359B46" w14:textId="77777777" w:rsidTr="007A3003">
        <w:tc>
          <w:tcPr>
            <w:tcW w:w="4675" w:type="dxa"/>
          </w:tcPr>
          <w:p w14:paraId="1A018AF0" w14:textId="77777777" w:rsidR="007A3003" w:rsidRDefault="007A3003" w:rsidP="007A30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10D7">
              <w:rPr>
                <w:rFonts w:ascii="Arial" w:hAnsi="Arial" w:cs="Arial"/>
                <w:b/>
                <w:sz w:val="20"/>
                <w:szCs w:val="20"/>
              </w:rPr>
              <w:t xml:space="preserve">Constructability </w:t>
            </w:r>
          </w:p>
        </w:tc>
        <w:tc>
          <w:tcPr>
            <w:tcW w:w="4675" w:type="dxa"/>
          </w:tcPr>
          <w:p w14:paraId="483BD3B5" w14:textId="77777777" w:rsidR="007A3003" w:rsidRDefault="007A3003" w:rsidP="007A3003">
            <w:r w:rsidRPr="003177D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7A3003" w:rsidRPr="00C27065" w14:paraId="71CDE02B" w14:textId="77777777" w:rsidTr="007A3003">
        <w:tc>
          <w:tcPr>
            <w:tcW w:w="4675" w:type="dxa"/>
          </w:tcPr>
          <w:p w14:paraId="3592A213" w14:textId="77777777" w:rsidR="007A3003" w:rsidRPr="00C27065" w:rsidRDefault="003F3F7B" w:rsidP="007A30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27065">
              <w:rPr>
                <w:rFonts w:ascii="Arial" w:hAnsi="Arial" w:cs="Arial"/>
                <w:b/>
                <w:sz w:val="20"/>
                <w:szCs w:val="20"/>
              </w:rPr>
              <w:t xml:space="preserve">FLAMROC </w:t>
            </w:r>
            <w:r w:rsidR="007A3003" w:rsidRPr="00C27065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C27065">
              <w:rPr>
                <w:rFonts w:ascii="Arial" w:hAnsi="Arial" w:cs="Arial"/>
                <w:b/>
                <w:sz w:val="20"/>
                <w:szCs w:val="20"/>
              </w:rPr>
              <w:t xml:space="preserve"> SCORE</w:t>
            </w:r>
          </w:p>
        </w:tc>
        <w:tc>
          <w:tcPr>
            <w:tcW w:w="4675" w:type="dxa"/>
          </w:tcPr>
          <w:p w14:paraId="55607DFB" w14:textId="77777777" w:rsidR="007A3003" w:rsidRPr="00C27065" w:rsidRDefault="00071C58" w:rsidP="00071C58">
            <w:pPr>
              <w:rPr>
                <w:rFonts w:ascii="Arial" w:hAnsi="Arial" w:cs="Arial"/>
                <w:sz w:val="20"/>
                <w:szCs w:val="20"/>
              </w:rPr>
            </w:pPr>
            <w:r w:rsidRPr="00C2706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021DD799" w14:textId="77777777" w:rsidR="007A3003" w:rsidRPr="00C27065" w:rsidRDefault="00C27065" w:rsidP="00C27065">
      <w:pPr>
        <w:rPr>
          <w:rFonts w:ascii="Arial" w:hAnsi="Arial" w:cs="Arial"/>
          <w:sz w:val="20"/>
          <w:szCs w:val="20"/>
        </w:rPr>
      </w:pPr>
      <w:r w:rsidRPr="00C2706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*-</w:t>
      </w:r>
      <w:r w:rsidRPr="00C27065">
        <w:rPr>
          <w:rFonts w:ascii="Arial" w:hAnsi="Arial" w:cs="Arial"/>
          <w:sz w:val="20"/>
          <w:szCs w:val="20"/>
        </w:rPr>
        <w:t xml:space="preserve">  Adjust weight to meet project needs</w:t>
      </w:r>
    </w:p>
    <w:p w14:paraId="4DE4B35E" w14:textId="77777777" w:rsidR="007A3003" w:rsidRPr="006410D7" w:rsidRDefault="007A3003" w:rsidP="006410D7">
      <w:pPr>
        <w:rPr>
          <w:rFonts w:ascii="Arial" w:hAnsi="Arial" w:cs="Arial"/>
          <w:sz w:val="20"/>
          <w:szCs w:val="20"/>
        </w:rPr>
      </w:pPr>
    </w:p>
    <w:p w14:paraId="59C1EC20" w14:textId="77777777" w:rsidR="006410D7" w:rsidRDefault="006410D7" w:rsidP="006410D7"/>
    <w:sectPr w:rsidR="006410D7" w:rsidSect="00E718C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3B7A8" w14:textId="77777777" w:rsidR="002A7BDB" w:rsidRDefault="002A7BDB" w:rsidP="002A7BDB">
      <w:pPr>
        <w:spacing w:after="0" w:line="240" w:lineRule="auto"/>
      </w:pPr>
      <w:r>
        <w:separator/>
      </w:r>
    </w:p>
  </w:endnote>
  <w:endnote w:type="continuationSeparator" w:id="0">
    <w:p w14:paraId="6B898A56" w14:textId="77777777" w:rsidR="002A7BDB" w:rsidRDefault="002A7BDB" w:rsidP="002A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B968" w14:textId="77777777" w:rsidR="002A7BDB" w:rsidRDefault="00156F2A">
    <w:pPr>
      <w:pStyle w:val="Footer"/>
    </w:pPr>
    <w:r>
      <w:t xml:space="preserve">TEMPLATE </w:t>
    </w:r>
    <w:r w:rsidR="002A7BDB">
      <w:t xml:space="preserve">REV. </w:t>
    </w:r>
    <w:r w:rsidR="00502A99">
      <w:t xml:space="preserve"> </w:t>
    </w:r>
    <w:r>
      <w:t>03</w:t>
    </w:r>
    <w:r w:rsidR="00502A99">
      <w:t>/</w:t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3B050" w14:textId="77777777" w:rsidR="002A7BDB" w:rsidRDefault="002A7BDB" w:rsidP="002A7BDB">
      <w:pPr>
        <w:spacing w:after="0" w:line="240" w:lineRule="auto"/>
      </w:pPr>
      <w:r>
        <w:separator/>
      </w:r>
    </w:p>
  </w:footnote>
  <w:footnote w:type="continuationSeparator" w:id="0">
    <w:p w14:paraId="16AFA543" w14:textId="77777777" w:rsidR="002A7BDB" w:rsidRDefault="002A7BDB" w:rsidP="002A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4FA"/>
    <w:multiLevelType w:val="hybridMultilevel"/>
    <w:tmpl w:val="92C63A5A"/>
    <w:lvl w:ilvl="0" w:tplc="F5FA13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425F"/>
    <w:multiLevelType w:val="hybridMultilevel"/>
    <w:tmpl w:val="C786EC0C"/>
    <w:lvl w:ilvl="0" w:tplc="42A64F9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D7"/>
    <w:rsid w:val="00071C58"/>
    <w:rsid w:val="0014420A"/>
    <w:rsid w:val="00156F2A"/>
    <w:rsid w:val="002A7BDB"/>
    <w:rsid w:val="003F3F7B"/>
    <w:rsid w:val="00436697"/>
    <w:rsid w:val="004823A7"/>
    <w:rsid w:val="00502A99"/>
    <w:rsid w:val="00550E51"/>
    <w:rsid w:val="00605F56"/>
    <w:rsid w:val="006410D7"/>
    <w:rsid w:val="00760822"/>
    <w:rsid w:val="007A3003"/>
    <w:rsid w:val="007B3D04"/>
    <w:rsid w:val="008C3722"/>
    <w:rsid w:val="00947BD1"/>
    <w:rsid w:val="00991EC8"/>
    <w:rsid w:val="00A92155"/>
    <w:rsid w:val="00C24000"/>
    <w:rsid w:val="00C27065"/>
    <w:rsid w:val="00E26C33"/>
    <w:rsid w:val="00E7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6B56C"/>
  <w15:chartTrackingRefBased/>
  <w15:docId w15:val="{37FB6A79-F9C3-4D0A-A681-B492F4D8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1C58"/>
    <w:rPr>
      <w:color w:val="808080"/>
    </w:rPr>
  </w:style>
  <w:style w:type="paragraph" w:styleId="ListParagraph">
    <w:name w:val="List Paragraph"/>
    <w:basedOn w:val="Normal"/>
    <w:uiPriority w:val="34"/>
    <w:qFormat/>
    <w:rsid w:val="00C27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DB"/>
  </w:style>
  <w:style w:type="paragraph" w:styleId="Footer">
    <w:name w:val="footer"/>
    <w:basedOn w:val="Normal"/>
    <w:link w:val="FooterChar"/>
    <w:uiPriority w:val="99"/>
    <w:unhideWhenUsed/>
    <w:rsid w:val="002A7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319958FDAA14E876731E8FA9C3E4B" ma:contentTypeVersion="0" ma:contentTypeDescription="Create a new document." ma:contentTypeScope="" ma:versionID="33f2014928f664856a053dccf4412a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8c7062a0bfc0527af212596eb571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5C26B-113E-47EB-8766-26658C73C3B2}"/>
</file>

<file path=customXml/itemProps2.xml><?xml version="1.0" encoding="utf-8"?>
<ds:datastoreItem xmlns:ds="http://schemas.openxmlformats.org/officeDocument/2006/customXml" ds:itemID="{8C03463C-5012-4488-8911-6426176837E0}"/>
</file>

<file path=customXml/itemProps3.xml><?xml version="1.0" encoding="utf-8"?>
<ds:datastoreItem xmlns:ds="http://schemas.openxmlformats.org/officeDocument/2006/customXml" ds:itemID="{B713DD03-ABDB-438D-86AB-34E57E77F8DD}"/>
</file>

<file path=customXml/itemProps4.xml><?xml version="1.0" encoding="utf-8"?>
<ds:datastoreItem xmlns:ds="http://schemas.openxmlformats.org/officeDocument/2006/customXml" ds:itemID="{6DA08724-BDC0-49D1-877A-19322CAB6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MSDGC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Belcik, Mark</dc:creator>
  <cp:keywords/>
  <dc:description/>
  <cp:lastModifiedBy>Siegert, David</cp:lastModifiedBy>
  <cp:revision>9</cp:revision>
  <dcterms:created xsi:type="dcterms:W3CDTF">2018-08-29T17:05:00Z</dcterms:created>
  <dcterms:modified xsi:type="dcterms:W3CDTF">2019-05-21T20:21:00Z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0x010100DE5319958FDAA14E876731E8FA9C3E4B</vt:lpwstr>
  </property>
</Properties>
</file>